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F3D" w:rsidRPr="00965E69" w:rsidRDefault="00132F3D" w:rsidP="00965E69">
      <w:pPr>
        <w:jc w:val="center"/>
        <w:rPr>
          <w:rFonts w:asciiTheme="minorHAnsi" w:hAnsiTheme="minorHAnsi"/>
          <w:b/>
          <w:sz w:val="22"/>
          <w:szCs w:val="22"/>
        </w:rPr>
      </w:pPr>
      <w:r w:rsidRPr="00965E69">
        <w:rPr>
          <w:rFonts w:asciiTheme="minorHAnsi" w:hAnsiTheme="minorHAnsi"/>
          <w:b/>
          <w:sz w:val="24"/>
          <w:szCs w:val="24"/>
        </w:rPr>
        <w:t>PAKIET</w:t>
      </w:r>
      <w:r w:rsidRPr="00965E69">
        <w:rPr>
          <w:b/>
          <w:sz w:val="24"/>
          <w:szCs w:val="24"/>
        </w:rPr>
        <w:t xml:space="preserve"> </w:t>
      </w:r>
      <w:r w:rsidR="00965E69" w:rsidRPr="00965E69">
        <w:rPr>
          <w:rFonts w:asciiTheme="minorHAnsi" w:hAnsiTheme="minorHAnsi"/>
          <w:b/>
          <w:sz w:val="24"/>
          <w:szCs w:val="24"/>
        </w:rPr>
        <w:t>14</w:t>
      </w:r>
    </w:p>
    <w:p w:rsidR="00132F3D" w:rsidRDefault="00132F3D" w:rsidP="00132F3D">
      <w:pPr>
        <w:rPr>
          <w:rFonts w:asciiTheme="minorHAnsi" w:hAnsiTheme="minorHAnsi"/>
          <w:sz w:val="22"/>
          <w:szCs w:val="22"/>
        </w:rPr>
      </w:pPr>
    </w:p>
    <w:p w:rsidR="00132F3D" w:rsidRDefault="00132F3D" w:rsidP="00132F3D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2"/>
          <w:szCs w:val="22"/>
        </w:rPr>
        <w:t xml:space="preserve">                     </w:t>
      </w:r>
      <w:r w:rsidRPr="003534F1">
        <w:rPr>
          <w:rFonts w:asciiTheme="minorHAnsi" w:hAnsiTheme="minorHAnsi"/>
          <w:sz w:val="24"/>
          <w:szCs w:val="24"/>
        </w:rPr>
        <w:t>ZESTAWIENIE  PARAMETRÓW I WARUNKÓW  TECHNICZNYCH</w:t>
      </w:r>
    </w:p>
    <w:p w:rsidR="00132F3D" w:rsidRPr="003534F1" w:rsidRDefault="00132F3D" w:rsidP="00132F3D">
      <w:pPr>
        <w:rPr>
          <w:rFonts w:asciiTheme="minorHAnsi" w:hAnsiTheme="minorHAnsi"/>
          <w:sz w:val="24"/>
          <w:szCs w:val="24"/>
        </w:rPr>
      </w:pPr>
    </w:p>
    <w:p w:rsidR="00132F3D" w:rsidRDefault="00132F3D" w:rsidP="00132F3D"/>
    <w:tbl>
      <w:tblPr>
        <w:tblW w:w="12474" w:type="dxa"/>
        <w:tblInd w:w="-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7654"/>
        <w:gridCol w:w="2693"/>
      </w:tblGrid>
      <w:tr w:rsidR="00132F3D" w:rsidRPr="00335407" w:rsidTr="00230EAE">
        <w:trPr>
          <w:trHeight w:val="28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Default="00132F3D" w:rsidP="00172400">
            <w:pPr>
              <w:shd w:val="clear" w:color="auto" w:fill="FFFFFF"/>
              <w:ind w:left="22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132F3D" w:rsidRPr="00A36466" w:rsidRDefault="00132F3D" w:rsidP="00172400">
            <w:pPr>
              <w:shd w:val="clear" w:color="auto" w:fill="FFFFFF"/>
              <w:ind w:left="22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Przedmiot: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A6097E" w:rsidRDefault="00132F3D" w:rsidP="00172400">
            <w:pPr>
              <w:rPr>
                <w:rFonts w:ascii="Cambria Math" w:hAnsi="Cambria Math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     </w:t>
            </w:r>
            <w:r w:rsidRPr="00EB38D7">
              <w:rPr>
                <w:rFonts w:ascii="Cambria Math" w:hAnsi="Cambria Math"/>
                <w:sz w:val="24"/>
                <w:szCs w:val="24"/>
              </w:rPr>
              <w:t xml:space="preserve">POMPA  INFUZYJNA     OBJĘTOŚCIOWA                                 </w:t>
            </w:r>
            <w:r w:rsidR="00230EAE" w:rsidRPr="00EB38D7">
              <w:rPr>
                <w:rFonts w:ascii="Cambria Math" w:hAnsi="Cambria Math"/>
                <w:sz w:val="24"/>
                <w:szCs w:val="24"/>
              </w:rPr>
              <w:t xml:space="preserve"> 2</w:t>
            </w:r>
            <w:r w:rsidRPr="00EB38D7">
              <w:rPr>
                <w:rFonts w:ascii="Cambria Math" w:hAnsi="Cambria Math"/>
                <w:sz w:val="24"/>
                <w:szCs w:val="24"/>
              </w:rPr>
              <w:t xml:space="preserve"> szt.</w:t>
            </w:r>
          </w:p>
        </w:tc>
        <w:tc>
          <w:tcPr>
            <w:tcW w:w="2693" w:type="dxa"/>
            <w:vAlign w:val="center"/>
          </w:tcPr>
          <w:p w:rsidR="00132F3D" w:rsidRPr="004C36A8" w:rsidRDefault="00132F3D" w:rsidP="00172400">
            <w:pPr>
              <w:rPr>
                <w:rFonts w:ascii="Calibri" w:hAnsi="Calibri"/>
                <w:b/>
                <w:sz w:val="24"/>
                <w:szCs w:val="24"/>
              </w:rPr>
            </w:pPr>
            <w:r w:rsidRPr="004C36A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</w:tr>
      <w:tr w:rsidR="00132F3D" w:rsidRPr="00335407" w:rsidTr="00230EAE">
        <w:trPr>
          <w:gridAfter w:val="1"/>
          <w:wAfter w:w="2693" w:type="dxa"/>
          <w:trHeight w:val="28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A36466" w:rsidRDefault="00132F3D" w:rsidP="00172400">
            <w:pPr>
              <w:shd w:val="clear" w:color="auto" w:fill="FFFFFF"/>
              <w:ind w:left="22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Nazwa  i typ: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32F3D" w:rsidRPr="00335407" w:rsidTr="00230EAE">
        <w:trPr>
          <w:gridAfter w:val="1"/>
          <w:wAfter w:w="2693" w:type="dxa"/>
          <w:trHeight w:val="28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A36466" w:rsidRDefault="00132F3D" w:rsidP="00172400">
            <w:pPr>
              <w:shd w:val="clear" w:color="auto" w:fill="FFFFFF"/>
              <w:ind w:left="14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Producent :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  <w:tr w:rsidR="00132F3D" w:rsidRPr="00335407" w:rsidTr="00230EAE">
        <w:trPr>
          <w:gridAfter w:val="1"/>
          <w:wAfter w:w="2693" w:type="dxa"/>
          <w:trHeight w:val="28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A36466" w:rsidRDefault="00132F3D" w:rsidP="00172400">
            <w:pPr>
              <w:shd w:val="clear" w:color="auto" w:fill="FFFFFF"/>
              <w:ind w:left="14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36466">
              <w:rPr>
                <w:rFonts w:asciiTheme="minorHAnsi" w:hAnsiTheme="minorHAnsi"/>
                <w:color w:val="000000"/>
                <w:sz w:val="22"/>
                <w:szCs w:val="22"/>
              </w:rPr>
              <w:t>R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ok produkcji: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CA7D02" w:rsidRDefault="00CA7D02" w:rsidP="00172400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7D02">
              <w:rPr>
                <w:rFonts w:ascii="Calibri" w:hAnsi="Calibri"/>
                <w:color w:val="000000"/>
                <w:sz w:val="22"/>
                <w:szCs w:val="22"/>
              </w:rPr>
              <w:t>2019</w:t>
            </w:r>
          </w:p>
        </w:tc>
      </w:tr>
    </w:tbl>
    <w:p w:rsidR="00132F3D" w:rsidRDefault="00132F3D" w:rsidP="00132F3D"/>
    <w:p w:rsidR="00132F3D" w:rsidRDefault="00132F3D" w:rsidP="00132F3D"/>
    <w:tbl>
      <w:tblPr>
        <w:tblW w:w="9829" w:type="dxa"/>
        <w:tblInd w:w="-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159"/>
        <w:gridCol w:w="2552"/>
        <w:gridCol w:w="2409"/>
      </w:tblGrid>
      <w:tr w:rsidR="00132F3D" w:rsidRPr="0033540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230EAE" w:rsidP="00230EAE">
            <w:pPr>
              <w:keepNext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PARAMETRY I WARUNKI  TECHNICZNE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WYMAGANE P</w:t>
            </w:r>
            <w:r w:rsidR="00230EAE">
              <w:rPr>
                <w:rFonts w:ascii="Calibri" w:hAnsi="Calibri"/>
                <w:b/>
                <w:bCs/>
                <w:sz w:val="22"/>
                <w:szCs w:val="22"/>
              </w:rPr>
              <w:t xml:space="preserve">ARAMETRY            </w:t>
            </w:r>
          </w:p>
          <w:p w:rsidR="00132F3D" w:rsidRPr="00335407" w:rsidRDefault="00132F3D" w:rsidP="0017240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Pompa przeznaczona do podaży leków, płynów, krwi i produktów krwiopodobnych.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 xml:space="preserve">Zastosowany mechanizm umożliwiający transfuzję krwi nie powoduje niszczenia czerwonych krwinek (hemolizy)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 xml:space="preserve">Aparat do przetoczeń z mechanizmem zabezpieczającym przed niekontrolowanym wypływem leku po otworzeniu </w:t>
            </w:r>
            <w:r w:rsidR="00CA7D02" w:rsidRPr="00EB38D7">
              <w:rPr>
                <w:rFonts w:ascii="Cambria Math" w:hAnsi="Cambria Math"/>
                <w:sz w:val="22"/>
                <w:szCs w:val="22"/>
              </w:rPr>
              <w:t>drzwi</w:t>
            </w:r>
            <w:r w:rsidRPr="00EB38D7">
              <w:rPr>
                <w:rFonts w:ascii="Cambria Math" w:hAnsi="Cambria Math"/>
                <w:sz w:val="22"/>
                <w:szCs w:val="22"/>
              </w:rPr>
              <w:t xml:space="preserve"> pompy infuzyjnej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Możliwość wprowadzenia i skalibrowania pompy do pracy z innymi akceptowalnymi zestawami infuzyjnymi.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Wyświetlacz LCD TFT min. 3 cale z możliwością regulacji jasności i głośności alarmów (tryb nocny)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 w:rsidR="00CA7D02"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rPr>
                <w:rFonts w:ascii="Cambria Math" w:hAnsi="Cambria Math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Na wyświetlaczu dostępne jednocześnie informacje: prędkość infuzji, aktualna podaż, objętość do podania, ciśnienie w linii infuzyjnej, pojemność akumulatora, podawany lek, alarmy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Wszystkie napisy na wyświetlaczu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 xml:space="preserve">Zakres prędkości podaży  bolusa 0,1 – 2000 ml/h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Prędkość infuzji w zakresie od 0,01 – 99,00 ml/h programowana co 0,01ml/godz.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 xml:space="preserve">Zmiana szybkości infuzji bez konieczności przerywania wlewu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 xml:space="preserve">Bolus na żądanie i  programowany z określoną objętością i prędkością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 xml:space="preserve">Zakres prędkości podaży  bolusa 0,1 – 2000 ml/h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Zmiana szybkości podawania bolusa w czasie infuzji – bez konieczności zatrzymania infuzji.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 xml:space="preserve">Automatyczna funkcja </w:t>
            </w:r>
            <w:proofErr w:type="spellStart"/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antybolus</w:t>
            </w:r>
            <w:proofErr w:type="spellEnd"/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 xml:space="preserve"> po okluzji – zabezpieczenie przed podaniem </w:t>
            </w: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lastRenderedPageBreak/>
              <w:t>niekontrolowanego bolusa po alarmie okluzji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 xml:space="preserve">Funkcja programowania objętości do podania (VTBD) 0,1- 9999,99 ml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Dozowanie z określeniem prędkości i objętości podaży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Obliczanie prędkości podaży na podstawie objętości, prędkości i czasu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Programowanie infuzji z przerwą oraz ze zmienną szybkością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Dozowanie w jednostkach masowych w stosunku do wagi pacjenta</w:t>
            </w:r>
          </w:p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Waga pacjenta w zakresie od min. 1 – 300 kg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Funkcja szybkiego startu infuzji z parametrami wstępnymi ostatniej zakończonej infuzji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 xml:space="preserve">Możliwość programowania parametrów infuzji w mg, µg,  z uwzględnieniem masy ciała w odniesieniu do czasu (g, mg, µg, </w:t>
            </w:r>
            <w:proofErr w:type="spellStart"/>
            <w:r w:rsidRPr="00EB38D7">
              <w:rPr>
                <w:rFonts w:ascii="Cambria Math" w:hAnsi="Cambria Math"/>
                <w:sz w:val="22"/>
                <w:szCs w:val="22"/>
              </w:rPr>
              <w:t>ng</w:t>
            </w:r>
            <w:proofErr w:type="spellEnd"/>
            <w:r w:rsidRPr="00EB38D7">
              <w:rPr>
                <w:rFonts w:ascii="Cambria Math" w:hAnsi="Cambria Math"/>
                <w:sz w:val="22"/>
                <w:szCs w:val="22"/>
              </w:rPr>
              <w:t xml:space="preserve">, IU/kg/min; g, mg, µg, </w:t>
            </w:r>
            <w:proofErr w:type="spellStart"/>
            <w:r w:rsidRPr="00EB38D7">
              <w:rPr>
                <w:rFonts w:ascii="Cambria Math" w:hAnsi="Cambria Math"/>
                <w:sz w:val="22"/>
                <w:szCs w:val="22"/>
              </w:rPr>
              <w:t>ng</w:t>
            </w:r>
            <w:proofErr w:type="spellEnd"/>
            <w:r w:rsidRPr="00EB38D7">
              <w:rPr>
                <w:rFonts w:ascii="Cambria Math" w:hAnsi="Cambria Math"/>
                <w:sz w:val="22"/>
                <w:szCs w:val="22"/>
              </w:rPr>
              <w:t>, IU/kg/h)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Funkcja – przerwa (</w:t>
            </w:r>
            <w:proofErr w:type="spellStart"/>
            <w:r w:rsidRPr="00EB38D7">
              <w:rPr>
                <w:rFonts w:ascii="Cambria Math" w:hAnsi="Cambria Math"/>
                <w:sz w:val="22"/>
                <w:szCs w:val="22"/>
              </w:rPr>
              <w:t>standby</w:t>
            </w:r>
            <w:proofErr w:type="spellEnd"/>
            <w:r w:rsidRPr="00EB38D7">
              <w:rPr>
                <w:rFonts w:ascii="Cambria Math" w:hAnsi="Cambria Math"/>
                <w:sz w:val="22"/>
                <w:szCs w:val="22"/>
              </w:rPr>
              <w:t>) w zakresie od 1</w:t>
            </w:r>
            <w:r w:rsidR="00CA7D02">
              <w:rPr>
                <w:rFonts w:ascii="Cambria Math" w:hAnsi="Cambria Math"/>
                <w:sz w:val="22"/>
                <w:szCs w:val="22"/>
              </w:rPr>
              <w:t xml:space="preserve"> </w:t>
            </w:r>
            <w:r w:rsidRPr="00EB38D7">
              <w:rPr>
                <w:rFonts w:ascii="Cambria Math" w:hAnsi="Cambria Math"/>
                <w:sz w:val="22"/>
                <w:szCs w:val="22"/>
              </w:rPr>
              <w:t>min do 24 godz.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Ustawienie granicy ciśnienia okluzji na 11 różnych poziomach w zakresie od 150-975 mmHg. Możliwość zmiany jednostki ciśnienia (Pa, bar)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Funkcja blokady klawiatury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Akustyczno-optyczny system alarmów i ostrzeżeń: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Ustawienie min. 8 różnych poziomów głośności alarmu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 xml:space="preserve">Alarm wstępny zakończenia infuzji ustawiany od 1 do 30 min.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Alarm zakończenia infuzji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Alarm powietrza w linii zestawu infuzyjnego (</w:t>
            </w:r>
            <w:proofErr w:type="spellStart"/>
            <w:r w:rsidRPr="00EB38D7">
              <w:rPr>
                <w:rFonts w:ascii="Cambria Math" w:hAnsi="Cambria Math"/>
                <w:sz w:val="22"/>
                <w:szCs w:val="22"/>
              </w:rPr>
              <w:t>pojedyńczego</w:t>
            </w:r>
            <w:proofErr w:type="spellEnd"/>
            <w:r w:rsidRPr="00EB38D7">
              <w:rPr>
                <w:rFonts w:ascii="Cambria Math" w:hAnsi="Cambria Math"/>
                <w:sz w:val="22"/>
                <w:szCs w:val="22"/>
              </w:rPr>
              <w:t xml:space="preserve"> </w:t>
            </w:r>
            <w:proofErr w:type="spellStart"/>
            <w:r w:rsidRPr="00EB38D7">
              <w:rPr>
                <w:rFonts w:ascii="Cambria Math" w:hAnsi="Cambria Math"/>
                <w:sz w:val="22"/>
                <w:szCs w:val="22"/>
              </w:rPr>
              <w:t>pęchęrzyka</w:t>
            </w:r>
            <w:proofErr w:type="spellEnd"/>
            <w:r w:rsidRPr="00EB38D7">
              <w:rPr>
                <w:rFonts w:ascii="Cambria Math" w:hAnsi="Cambria Math"/>
                <w:sz w:val="22"/>
                <w:szCs w:val="22"/>
              </w:rPr>
              <w:t xml:space="preserve"> oraz wartości skumulowanej). Możliwość ustawienia min. wartości pęcherzyka powietrza w zakresie od 20-800µL.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Alarm okluzji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Wbudowana biblioteka leków umożliwiająca wpisanie co najmniej 2000 leków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Dokładność mechaniczna podaży max. (+/-)1%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Menu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Historia zdarzeń min. 2000, dostępna bezpośrednio z wyświetlacza pompy infuzyjnej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35.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Pompa zasilana bezpośrednio z sieci elektrycznej bez zewn. zasilacza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Praca na akumulatorze wbudowanym min.9 godz. przy przepływie 25 ml/godz.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Wbudowany w pompę uchwyt do mocowania pompy do rury pionowej i poziomej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Zatrzaskowy sposób mocowania w stacji dokującej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Możliwość współpracy z Systemami Zarządzania Danymi Pacjenta (PDMS)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 / NIE</w:t>
            </w:r>
          </w:p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 xml:space="preserve">Klasa ochronności zgodnie z IEC/EN60601-1: Klasa I, typ CF, </w:t>
            </w:r>
          </w:p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Ochrona przed wilgocią min. IP 23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B38D7" w:rsidRDefault="00132F3D" w:rsidP="00172400">
            <w:pPr>
              <w:rPr>
                <w:rFonts w:ascii="Cambria Math" w:hAnsi="Cambria Math"/>
                <w:sz w:val="22"/>
                <w:szCs w:val="22"/>
              </w:rPr>
            </w:pPr>
            <w:r w:rsidRPr="00EB38D7">
              <w:rPr>
                <w:rFonts w:ascii="Cambria Math" w:hAnsi="Cambria Math"/>
                <w:sz w:val="22"/>
                <w:szCs w:val="22"/>
              </w:rPr>
              <w:t>Masa pompy objętościowej ma</w:t>
            </w:r>
            <w:r w:rsidR="00CA7D02">
              <w:rPr>
                <w:rFonts w:ascii="Cambria Math" w:hAnsi="Cambria Math"/>
                <w:sz w:val="22"/>
                <w:szCs w:val="22"/>
              </w:rPr>
              <w:t>ks</w:t>
            </w:r>
            <w:r w:rsidRPr="00EB38D7">
              <w:rPr>
                <w:rFonts w:ascii="Cambria Math" w:hAnsi="Cambria Math"/>
                <w:sz w:val="22"/>
                <w:szCs w:val="22"/>
              </w:rPr>
              <w:t>. 2,5 kg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132F3D" w:rsidRPr="00EB38D7" w:rsidRDefault="00132F3D" w:rsidP="00172400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EB38D7" w:rsidRDefault="00132F3D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7C1694" w:rsidRPr="00EB38D7" w:rsidTr="00230EAE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1694" w:rsidRPr="00E62A13" w:rsidRDefault="007C1694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1694" w:rsidRPr="00EB38D7" w:rsidRDefault="009F127F" w:rsidP="00172400">
            <w:pPr>
              <w:rPr>
                <w:rFonts w:ascii="Cambria Math" w:hAnsi="Cambria Math"/>
                <w:sz w:val="22"/>
                <w:szCs w:val="22"/>
              </w:rPr>
            </w:pPr>
            <w:r>
              <w:rPr>
                <w:rFonts w:ascii="Cambria Math" w:hAnsi="Cambria Math"/>
                <w:sz w:val="22"/>
                <w:szCs w:val="22"/>
              </w:rPr>
              <w:t>Jeden stojak jezdny</w:t>
            </w:r>
            <w:r w:rsidR="007C1694">
              <w:rPr>
                <w:rFonts w:ascii="Cambria Math" w:hAnsi="Cambria Math"/>
                <w:sz w:val="22"/>
                <w:szCs w:val="22"/>
              </w:rPr>
              <w:t xml:space="preserve"> do przewieszenia pomp infuzyjnych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1694" w:rsidRPr="00EB38D7" w:rsidRDefault="007C1694" w:rsidP="00172400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1694" w:rsidRPr="00EB38D7" w:rsidRDefault="007C1694" w:rsidP="00172400">
            <w:pPr>
              <w:rPr>
                <w:rFonts w:ascii="Cambria Math" w:hAnsi="Cambria Math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230E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829" w:type="dxa"/>
            <w:gridSpan w:val="4"/>
            <w:shd w:val="clear" w:color="auto" w:fill="auto"/>
            <w:vAlign w:val="center"/>
          </w:tcPr>
          <w:p w:rsidR="00132F3D" w:rsidRPr="009E6909" w:rsidRDefault="00132F3D" w:rsidP="00172400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:rsidR="00132F3D" w:rsidRDefault="00132F3D" w:rsidP="00132F3D">
      <w:pPr>
        <w:jc w:val="both"/>
        <w:rPr>
          <w:rFonts w:ascii="Arial" w:hAnsi="Arial" w:cs="Arial"/>
        </w:rPr>
      </w:pPr>
    </w:p>
    <w:tbl>
      <w:tblPr>
        <w:tblStyle w:val="Tabela-Siatka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4252"/>
        <w:gridCol w:w="2268"/>
        <w:gridCol w:w="2268"/>
      </w:tblGrid>
      <w:tr w:rsidR="00230EAE" w:rsidRPr="00230EAE" w:rsidTr="00230EAE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230EAE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right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230EAE" w:rsidRPr="00230EAE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230EAE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     </w:t>
            </w:r>
            <w:r w:rsidRPr="00230EAE"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  <w:t>POZOSTAŁE WYMOGI ;</w:t>
            </w:r>
            <w:r w:rsidRPr="00230EAE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230EAE" w:rsidRPr="00230EAE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230EAE" w:rsidRPr="00EB38D7" w:rsidTr="00230E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 w:rsidRPr="00EB38D7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 w:rsidRPr="00EB38D7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230EAE" w:rsidRPr="00EB38D7" w:rsidTr="00230E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 w:rsidRPr="00EB38D7">
              <w:rPr>
                <w:rFonts w:ascii="Cambria Math" w:eastAsiaTheme="minorHAnsi" w:hAnsi="Cambria Math" w:cs="Arial"/>
                <w:color w:val="000000"/>
                <w:sz w:val="22"/>
                <w:szCs w:val="22"/>
                <w:u w:val="single"/>
                <w:lang w:eastAsia="en-US"/>
              </w:rPr>
              <w:t>częstszych niż 1 x w roku</w:t>
            </w:r>
            <w:r w:rsidRPr="00EB38D7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230EAE" w:rsidRPr="00EB38D7" w:rsidTr="00230E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Dostępność części zamiennych po okresie gwarancji oraz serwisu pogwarancyjnego min. 8 lat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230EAE" w:rsidRPr="00EB38D7" w:rsidTr="00230E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wskazanego przez </w:t>
            </w:r>
            <w:r w:rsidR="00CA7D02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EB38D7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(wliczone w cenę w ramach umowy), ilość osób do przeszkolenia określa </w:t>
            </w:r>
            <w:r w:rsidR="00CA7D02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230EAE" w:rsidRPr="00EB38D7" w:rsidTr="00230E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hAnsi="Cambria Math" w:cs="Arial"/>
                <w:color w:val="000000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Dostawa, montaż i uruchomienie w wyznaczonym przez </w:t>
            </w:r>
            <w:r w:rsidR="00CA7D02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Użytkownika </w:t>
            </w:r>
            <w:r w:rsidRPr="00EB38D7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miejscu funkcjonowania urządzenia i w obecności osoby/osób wyznaczonych przez </w:t>
            </w:r>
            <w:r w:rsidR="00CA7D02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230EAE" w:rsidRPr="00EB38D7" w:rsidTr="00230E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Wypełniony paszport techniczny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</w:t>
            </w:r>
          </w:p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tbl>
      <w:tblPr>
        <w:tblW w:w="9781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2"/>
        <w:gridCol w:w="4243"/>
        <w:gridCol w:w="2268"/>
        <w:gridCol w:w="2268"/>
      </w:tblGrid>
      <w:tr w:rsidR="00230EAE" w:rsidRPr="00EB38D7" w:rsidTr="00230EAE">
        <w:trPr>
          <w:trHeight w:val="825"/>
        </w:trPr>
        <w:tc>
          <w:tcPr>
            <w:tcW w:w="100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230EAE" w:rsidRPr="00EB38D7" w:rsidRDefault="00230EAE" w:rsidP="00230EAE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230EAE" w:rsidRPr="00EB38D7" w:rsidRDefault="00230EAE" w:rsidP="00230EAE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napToGrid w:val="0"/>
              <w:spacing w:after="160" w:line="252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230EAE" w:rsidRPr="00EB38D7" w:rsidTr="00230EAE"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2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230EAE" w:rsidRPr="00EB38D7" w:rsidRDefault="00230EAE" w:rsidP="00230EAE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napToGrid w:val="0"/>
              <w:spacing w:after="160" w:line="252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230EAE" w:rsidRPr="00EB38D7" w:rsidTr="00CA7D02">
        <w:trPr>
          <w:trHeight w:val="1336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2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napToGrid w:val="0"/>
              <w:spacing w:after="160" w:line="252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230EAE" w:rsidRPr="00EB38D7" w:rsidTr="00230EAE"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2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230EAE" w:rsidRPr="00EB38D7" w:rsidRDefault="00230EAE" w:rsidP="00230EAE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napToGrid w:val="0"/>
              <w:spacing w:after="160" w:line="252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4252"/>
        <w:gridCol w:w="2268"/>
        <w:gridCol w:w="2268"/>
      </w:tblGrid>
      <w:tr w:rsidR="00230EAE" w:rsidRPr="00EB38D7" w:rsidTr="00230E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bookmarkStart w:id="0" w:name="_Hlk497907062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230EAE" w:rsidRPr="00EB38D7" w:rsidTr="00230E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B38D7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Okres gwarancji min.</w:t>
            </w:r>
            <w:r w:rsidR="00CA7D02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 </w:t>
            </w:r>
            <w:r w:rsidRPr="00EB38D7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36 m</w:t>
            </w:r>
            <w:r w:rsidR="00CA7D02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iesię</w:t>
            </w:r>
            <w:r w:rsidRPr="00EB38D7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cy; obejmuje  wszystkie elementy wielorazowego użytku wchodzące w skład zestawu.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CA7D02" w:rsidRPr="00EB38D7" w:rsidRDefault="00CA7D02" w:rsidP="00CA7D02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EB38D7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</w:rPr>
              <w:t>, podać</w:t>
            </w:r>
          </w:p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AE" w:rsidRPr="00EB38D7" w:rsidRDefault="00230EAE" w:rsidP="00230EAE">
            <w:pPr>
              <w:widowControl/>
              <w:autoSpaceDE/>
              <w:autoSpaceDN/>
              <w:adjustRightInd/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  <w:bookmarkEnd w:id="0"/>
      </w:tr>
    </w:tbl>
    <w:p w:rsidR="00230EAE" w:rsidRPr="00EB38D7" w:rsidRDefault="00230EAE" w:rsidP="00132F3D">
      <w:pPr>
        <w:jc w:val="both"/>
        <w:rPr>
          <w:rFonts w:ascii="Cambria Math" w:hAnsi="Cambria Math" w:cs="Arial"/>
        </w:rPr>
      </w:pPr>
    </w:p>
    <w:p w:rsidR="00230EAE" w:rsidRPr="00EB38D7" w:rsidRDefault="00230EAE" w:rsidP="00132F3D">
      <w:pPr>
        <w:jc w:val="both"/>
        <w:rPr>
          <w:rFonts w:ascii="Cambria Math" w:hAnsi="Cambria Math" w:cs="Arial"/>
        </w:rPr>
      </w:pPr>
    </w:p>
    <w:p w:rsidR="00CA7D02" w:rsidRDefault="00CA7D02" w:rsidP="00CA7D02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CA7D02" w:rsidRPr="00D1385B" w:rsidRDefault="00CA7D02" w:rsidP="00CA7D02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CA7D02" w:rsidRDefault="00CA7D02" w:rsidP="00CA7D0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CA7D02" w:rsidRDefault="00CA7D02" w:rsidP="00CA7D0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bookmarkStart w:id="1" w:name="_GoBack"/>
      <w:bookmarkEnd w:id="1"/>
    </w:p>
    <w:p w:rsidR="00CA7D02" w:rsidRDefault="00CA7D02" w:rsidP="00CA7D0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CA7D02" w:rsidRDefault="00CA7D02" w:rsidP="00CA7D0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CA7D02" w:rsidRPr="00AE37E5" w:rsidRDefault="00CA7D02" w:rsidP="00CA7D0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CA7D02" w:rsidRPr="00AE37E5" w:rsidRDefault="00CA7D02" w:rsidP="00CA7D02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DC0C58" w:rsidRDefault="00DC0C58" w:rsidP="00CA7D02">
      <w:pPr>
        <w:jc w:val="both"/>
      </w:pPr>
    </w:p>
    <w:sectPr w:rsidR="00DC0C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1BC"/>
    <w:rsid w:val="00132F3D"/>
    <w:rsid w:val="00230EAE"/>
    <w:rsid w:val="004871BC"/>
    <w:rsid w:val="007C1694"/>
    <w:rsid w:val="00802719"/>
    <w:rsid w:val="00965E69"/>
    <w:rsid w:val="009F127F"/>
    <w:rsid w:val="00A6097E"/>
    <w:rsid w:val="00CA7D02"/>
    <w:rsid w:val="00D94D33"/>
    <w:rsid w:val="00DA1DAC"/>
    <w:rsid w:val="00DC0C58"/>
    <w:rsid w:val="00EB38D7"/>
    <w:rsid w:val="00EC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F8796"/>
  <w15:chartTrackingRefBased/>
  <w15:docId w15:val="{DA20E378-48DA-4C4D-9509-A887D530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0E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38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8D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e35">
    <w:name w:val="Style35"/>
    <w:basedOn w:val="Normalny"/>
    <w:rsid w:val="00CA7D02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940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14</cp:revision>
  <cp:lastPrinted>2019-05-06T07:20:00Z</cp:lastPrinted>
  <dcterms:created xsi:type="dcterms:W3CDTF">2017-12-08T09:32:00Z</dcterms:created>
  <dcterms:modified xsi:type="dcterms:W3CDTF">2019-05-16T08:15:00Z</dcterms:modified>
</cp:coreProperties>
</file>